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48"/>
          <w:szCs w:val="48"/>
        </w:rPr>
        <w:t>重点任务分工及进度安排表</w:t>
      </w:r>
    </w:p>
    <w:tbl>
      <w:tblPr>
        <w:tblStyle w:val="3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543"/>
        <w:gridCol w:w="265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工作任务</w:t>
            </w:r>
          </w:p>
        </w:tc>
        <w:tc>
          <w:tcPr>
            <w:tcW w:w="2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责任单位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时间进度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探索捐赠知识产权收益、技术、股权、有价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证券等新型捐赠方式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省民政厅、国税局、地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税局、河南证监局、省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科技厅、知识产权局、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鼓励设立慈善信托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省民政厅、河南银监局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动员社会公众积极参与志愿服务，构建形式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多样、内容丰富、机制健全、覆盖城乡的志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愿服务体系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省文明办、民政厅、总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工会、团省委、省妇联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引导社会公众积极捐赠家庭闲置物品，广泛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设立社会捐助站点，创新发展慈善超市，发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挥网络捐赠技术优势，方便群众就近就便开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展捐赠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省民政厅、发展改革委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2016年6月底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前出台具体措施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健全社会救助和慈善资源信息对接机制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省民政厅、教育厅、卫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生计生委、住房城乡建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设厅、人力资源社会保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障厅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落实慈善组织企业所得税优惠政策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省财政厅、国税局、地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税局、民政厅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倡导金融机构根据慈善事业的特点和需求创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新金融产品和服务方式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人行郑州中心支行、河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南银监局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以扶贫济困类项目为重点，加大政府财政资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金向社会组织购买服务力度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省财政厅、民政厅等相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关部门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广播、电视、报刊及互联网信息服务提供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者、电信运营商，应当对利用平台发起募捐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活动的慈善组织的合法性进行验证，包括查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验登记证书、募捐主体资格证明材料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省民政厅、省委网信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办、省新闻出版广电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局、通信管理局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倡导募用分离，支持在款物募集方面有优势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的慈善组织将募得款物用于资助有服务专长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的慈善组织运作项目</w:t>
            </w: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省民政厅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强化慈善组织信息公开责任。鼓励新闻媒体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为慈善组织的信息公开提供帮助支持和费用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优惠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省委宣传部、网信办、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省新闻出版广电局、民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2016年3月底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前出台具体措施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建立健全慈善活动和慈善工作责任追究制度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省民政厅、公安厅、安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全厅、省政府外侨办、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省公务员局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完善慈善表彰奖励制度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省委宣传部、省民政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厅、人力资源社会保障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厅，各省辖市、县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(市、区）政府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完善公民志愿服务记录制度，按照国家有关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规定建立完善志愿者嘉许和回馈制度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省文明办、民政厅、团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完善慈善人才培养政策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省教育厅、人力资源社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会保障厅、民政厅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2016年6月底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前出台具体措施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大力推进慈善文化建设，加大对慈善工作的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宣传力度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省委宣传部、省政府国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资委、省教育厅、文化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厅、省委网信办、省新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闻出版广电局、通信管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理局，民政厅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持续实施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各省辖市、县(市、区）政府根据本意见要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求，结合实际，抓紧制定配套落实政策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各省辖市、县(市、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区）政府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2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2016年3月底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前出台具体措施</w:t>
            </w:r>
          </w:p>
        </w:tc>
      </w:tr>
    </w:tbl>
    <w:p>
      <w:pPr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7634"/>
    <w:rsid w:val="17F24020"/>
    <w:rsid w:val="1B39505B"/>
    <w:rsid w:val="24FB4F16"/>
    <w:rsid w:val="27A10A34"/>
    <w:rsid w:val="3DD04573"/>
    <w:rsid w:val="5C5F75F3"/>
    <w:rsid w:val="61C554F0"/>
    <w:rsid w:val="68E36EF0"/>
    <w:rsid w:val="72A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2021-06-30T02:12:00Z</dcterms:created>
  <dc:creator>Administrator</dc:creator>
  <cp:lastModifiedBy>莹</cp:lastModifiedBy>
  <dcterms:modified xsi:type="dcterms:W3CDTF">2021-06-30T08:02:06Z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5073D26BB040417CB3E3D78C05B952F3</vt:lpwstr>
  </property>
</Properties>
</file>